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672AD" w:rsidRPr="00DC7119" w:rsidTr="00436B6F">
        <w:tc>
          <w:tcPr>
            <w:tcW w:w="9214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B6E42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B0A86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COORDENAÇÃOGERAL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734C01" w:rsidTr="00436B6F">
        <w:tc>
          <w:tcPr>
            <w:tcW w:w="9178" w:type="dxa"/>
          </w:tcPr>
          <w:p w:rsidR="00734C01" w:rsidRPr="00D01E7C" w:rsidRDefault="002E04CA" w:rsidP="00485E1A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8543C3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="003608AC" w:rsidRPr="008543C3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6562AD" w:rsidRPr="008543C3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11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D56E60" w:rsidRPr="00D56E6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INFORMAÇÕES</w:t>
            </w:r>
            <w:r w:rsidR="00D56E6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D56E60" w:rsidRPr="00D56E6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IMPORTANTES</w:t>
            </w:r>
            <w:r w:rsidR="00D56E6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D56E60" w:rsidRPr="00D56E6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SOBRE</w:t>
            </w:r>
            <w:r w:rsidR="00D56E6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D56E60" w:rsidRPr="00D56E60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</w:t>
            </w:r>
            <w:r w:rsidR="00D56E6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85E1A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Fase</w:t>
            </w:r>
            <w:r w:rsidR="00485E1A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85E1A" w:rsidRPr="00485E1A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Inicial</w:t>
            </w:r>
            <w:r w:rsidR="00485E1A" w:rsidRPr="00485E1A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543C3" w:rsidRPr="008543C3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8543C3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2ª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</w:rPr>
              <w:t>.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Etapa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Continuada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Formadores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Regionais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Membros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Coordenação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Geral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D949E5" w:rsidTr="00436B6F">
        <w:tc>
          <w:tcPr>
            <w:tcW w:w="9178" w:type="dxa"/>
          </w:tcPr>
          <w:p w:rsidR="006562AD" w:rsidRPr="0084025D" w:rsidRDefault="00CB06EF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Pr="0030510F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Geral 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do Pacto Nacional pelo Fortalecimento do Ensino Médio no Estado do Piauí informa </w:t>
            </w:r>
            <w:r w:rsidR="006562AD">
              <w:rPr>
                <w:rFonts w:ascii="Arial Narrow" w:hAnsi="Arial Narrow" w:cs="Arial"/>
                <w:sz w:val="24"/>
                <w:szCs w:val="24"/>
              </w:rPr>
              <w:t xml:space="preserve">mais uma vez 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>que</w:t>
            </w:r>
            <w:r w:rsidR="00B202F2" w:rsidRPr="0030510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 realizará </w:t>
            </w:r>
            <w:r w:rsidR="0096148E" w:rsidRPr="0030510F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período de </w:t>
            </w:r>
            <w:r w:rsidR="00AB0A86" w:rsidRPr="00AB0A86">
              <w:rPr>
                <w:rFonts w:ascii="Arial Narrow" w:hAnsi="Arial Narrow" w:cs="Arial"/>
                <w:b/>
                <w:sz w:val="24"/>
                <w:szCs w:val="24"/>
              </w:rPr>
              <w:t>15 a 19 de novembro de 2014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, em Teresina – Piauí, a 2ª. Etapa </w:t>
            </w:r>
            <w:r w:rsidR="006562AD">
              <w:rPr>
                <w:rFonts w:ascii="Arial Narrow" w:hAnsi="Arial Narrow" w:cs="Arial"/>
                <w:sz w:val="24"/>
                <w:szCs w:val="24"/>
              </w:rPr>
              <w:t xml:space="preserve">do Curso 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6562AD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 Formação dos Formadores Regionais e Membros da Coordenação Geral – Fase Inicial, referente aos 5 (cinco) Cadernos a</w:t>
            </w:r>
            <w:r w:rsidR="006562AD">
              <w:rPr>
                <w:rFonts w:ascii="Arial Narrow" w:hAnsi="Arial Narrow" w:cs="Arial"/>
                <w:sz w:val="24"/>
                <w:szCs w:val="24"/>
              </w:rPr>
              <w:t>nteriormente informados (</w:t>
            </w:r>
            <w:r w:rsidR="006562AD" w:rsidRPr="006562AD">
              <w:rPr>
                <w:rFonts w:ascii="Arial Narrow" w:hAnsi="Arial Narrow" w:cs="Arial"/>
                <w:color w:val="0000FF"/>
              </w:rPr>
              <w:t>I–Organização do Trabalho Pedagógico no Ensino Médio; II–Ciências Humanas; III–Ciências da Natureza; IV–Linguagens; V–Matemática</w:t>
            </w:r>
            <w:r w:rsidR="006562AD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6562AD" w:rsidRPr="006562AD">
              <w:rPr>
                <w:rFonts w:ascii="Arial Narrow" w:hAnsi="Arial Narrow" w:cs="Arial"/>
                <w:color w:val="0000FF"/>
                <w:sz w:val="24"/>
                <w:szCs w:val="24"/>
              </w:rPr>
              <w:t>.</w:t>
            </w:r>
          </w:p>
          <w:p w:rsidR="0084025D" w:rsidRDefault="0084025D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 a realização do referido Curso a Coordenação Geral informa que:</w:t>
            </w:r>
          </w:p>
          <w:p w:rsidR="0084025D" w:rsidRDefault="0084025D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o local das atividades</w:t>
            </w:r>
            <w:r w:rsidR="00F06455">
              <w:rPr>
                <w:rFonts w:ascii="Arial Narrow" w:hAnsi="Arial Narrow" w:cs="Arial"/>
                <w:sz w:val="24"/>
                <w:szCs w:val="24"/>
              </w:rPr>
              <w:t xml:space="preserve"> que começarão pontualmente às 08h:00 do dia 15/11/20143 (sábado)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será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B6E42">
              <w:rPr>
                <w:rFonts w:ascii="Arial Narrow" w:hAnsi="Arial Narrow" w:cs="Arial"/>
                <w:sz w:val="24"/>
                <w:szCs w:val="24"/>
              </w:rPr>
              <w:t>o Mini</w:t>
            </w:r>
            <w:r>
              <w:rPr>
                <w:rFonts w:ascii="Arial Narrow" w:hAnsi="Arial Narrow" w:cs="Arial"/>
                <w:sz w:val="24"/>
                <w:szCs w:val="24"/>
              </w:rPr>
              <w:t>auditório “Carnaúba”, do Blue Tree Hotel, Av. Marechal Castelo Branco, Nº 555, Ilhotas, Teresina, Piauí;</w:t>
            </w:r>
            <w:bookmarkStart w:id="0" w:name="_GoBack"/>
            <w:bookmarkEnd w:id="0"/>
          </w:p>
          <w:p w:rsidR="0084025D" w:rsidRDefault="0084025D" w:rsidP="0084025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será garantida a hospedagem no Hotel para todos os Formadores Regionais de fora de Teresina, no período de realização das atividades;</w:t>
            </w:r>
          </w:p>
          <w:p w:rsidR="00F06455" w:rsidRDefault="00F06455" w:rsidP="00F0645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os Formadores Regionais de fora de Teresina devem comprar suas passagens de ônibus para se deslocarem </w:t>
            </w:r>
            <w:r w:rsidR="00CA6ED9">
              <w:rPr>
                <w:rFonts w:ascii="Arial Narrow" w:hAnsi="Arial Narrow" w:cs="Arial"/>
                <w:sz w:val="24"/>
                <w:szCs w:val="24"/>
              </w:rPr>
              <w:t>para Teresina e, para tanto est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>ão</w:t>
            </w:r>
            <w:r w:rsidR="00CA6ED9">
              <w:rPr>
                <w:rFonts w:ascii="Arial Narrow" w:hAnsi="Arial Narrow" w:cs="Arial"/>
                <w:sz w:val="24"/>
                <w:szCs w:val="24"/>
              </w:rPr>
              <w:t xml:space="preserve"> garanti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>das</w:t>
            </w:r>
            <w:r w:rsidR="00CA6ED9">
              <w:rPr>
                <w:rFonts w:ascii="Arial Narrow" w:hAnsi="Arial Narrow" w:cs="Arial"/>
                <w:sz w:val="24"/>
                <w:szCs w:val="24"/>
              </w:rPr>
              <w:t xml:space="preserve"> diárias</w:t>
            </w:r>
            <w:r w:rsidR="00DE7F4F">
              <w:rPr>
                <w:rFonts w:ascii="Arial Narrow" w:hAnsi="Arial Narrow" w:cs="Arial"/>
                <w:sz w:val="24"/>
                <w:szCs w:val="24"/>
              </w:rPr>
              <w:t xml:space="preserve"> com recursos financeiros do Projeto,</w:t>
            </w:r>
            <w:r w:rsidR="00CA6ED9">
              <w:rPr>
                <w:rFonts w:ascii="Arial Narrow" w:hAnsi="Arial Narrow" w:cs="Arial"/>
                <w:sz w:val="24"/>
                <w:szCs w:val="24"/>
              </w:rPr>
              <w:t xml:space="preserve"> que serão depositadas nas contas bancárias informadas nas “Solicitações de Pagamento de Diárias”;</w:t>
            </w:r>
          </w:p>
          <w:p w:rsidR="0084025D" w:rsidRDefault="0084025D" w:rsidP="0084025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5D2648">
              <w:rPr>
                <w:rFonts w:ascii="Arial Narrow" w:hAnsi="Arial Narrow" w:cs="Arial"/>
                <w:sz w:val="24"/>
                <w:szCs w:val="24"/>
              </w:rPr>
              <w:t xml:space="preserve">também será garantido o deslocamento do Terminal Rodoviário </w:t>
            </w:r>
            <w:r w:rsidR="00F06455">
              <w:rPr>
                <w:rFonts w:ascii="Arial Narrow" w:hAnsi="Arial Narrow" w:cs="Arial"/>
                <w:sz w:val="24"/>
                <w:szCs w:val="24"/>
              </w:rPr>
              <w:t>“Gov. Lucídio Portella” para o Hotel e do H</w:t>
            </w:r>
            <w:r w:rsidR="005D2648">
              <w:rPr>
                <w:rFonts w:ascii="Arial Narrow" w:hAnsi="Arial Narrow" w:cs="Arial"/>
                <w:sz w:val="24"/>
                <w:szCs w:val="24"/>
              </w:rPr>
              <w:t xml:space="preserve">otel para o referido Terminal depois de concluído o Curso e, para tanto é necessário que cada Formador Regional de Fora de Teresina informe até amanhã (14/11/2014), às 12h:00, o </w:t>
            </w:r>
            <w:r w:rsidR="00F06455">
              <w:rPr>
                <w:rFonts w:ascii="Arial Narrow" w:hAnsi="Arial Narrow" w:cs="Arial"/>
                <w:sz w:val="24"/>
                <w:szCs w:val="24"/>
              </w:rPr>
              <w:t xml:space="preserve">seu </w:t>
            </w:r>
            <w:r w:rsidR="005D2648">
              <w:rPr>
                <w:rFonts w:ascii="Arial Narrow" w:hAnsi="Arial Narrow" w:cs="Arial"/>
                <w:sz w:val="24"/>
                <w:szCs w:val="24"/>
              </w:rPr>
              <w:t>hor</w:t>
            </w:r>
            <w:r w:rsidR="00F06455">
              <w:rPr>
                <w:rFonts w:ascii="Arial Narrow" w:hAnsi="Arial Narrow" w:cs="Arial"/>
                <w:sz w:val="24"/>
                <w:szCs w:val="24"/>
              </w:rPr>
              <w:t>ário de chegada</w:t>
            </w:r>
            <w:r w:rsidR="005D2648">
              <w:rPr>
                <w:rFonts w:ascii="Arial Narrow" w:hAnsi="Arial Narrow" w:cs="Arial"/>
                <w:sz w:val="24"/>
                <w:szCs w:val="24"/>
              </w:rPr>
              <w:t xml:space="preserve">, para que a Coordenação Geral comunique à locadora </w:t>
            </w:r>
            <w:r w:rsidR="00697CAA">
              <w:rPr>
                <w:rFonts w:ascii="Arial Narrow" w:hAnsi="Arial Narrow" w:cs="Arial"/>
                <w:sz w:val="24"/>
                <w:szCs w:val="24"/>
              </w:rPr>
              <w:t xml:space="preserve">de veículos </w:t>
            </w:r>
            <w:r w:rsidR="005D2648">
              <w:rPr>
                <w:rFonts w:ascii="Arial Narrow" w:hAnsi="Arial Narrow" w:cs="Arial"/>
                <w:sz w:val="24"/>
                <w:szCs w:val="24"/>
              </w:rPr>
              <w:lastRenderedPageBreak/>
              <w:t>responsável pelo traslado;</w:t>
            </w:r>
          </w:p>
          <w:p w:rsidR="003A36B4" w:rsidRDefault="00DE7F4F" w:rsidP="0084025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a alimentação será garantida com recursos financeiros do Projeto</w:t>
            </w:r>
            <w:r w:rsidR="003A36B4">
              <w:rPr>
                <w:rFonts w:ascii="Arial Narrow" w:hAnsi="Arial Narrow" w:cs="Arial"/>
                <w:sz w:val="24"/>
                <w:szCs w:val="24"/>
              </w:rPr>
              <w:t xml:space="preserve"> e no local do Curso, reforçando que o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almoço </w:t>
            </w:r>
            <w:r w:rsidR="003A36B4">
              <w:rPr>
                <w:rFonts w:ascii="Arial Narrow" w:hAnsi="Arial Narrow" w:cs="Arial"/>
                <w:sz w:val="24"/>
                <w:szCs w:val="24"/>
              </w:rPr>
              <w:t xml:space="preserve">é </w:t>
            </w:r>
            <w:r w:rsidRPr="003A36B4">
              <w:rPr>
                <w:rFonts w:ascii="Arial Narrow" w:hAnsi="Arial Narrow" w:cs="Arial"/>
                <w:sz w:val="24"/>
                <w:szCs w:val="24"/>
                <w:u w:val="single"/>
              </w:rPr>
              <w:t>obrigatório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A36B4">
              <w:rPr>
                <w:rFonts w:ascii="Arial Narrow" w:hAnsi="Arial Narrow" w:cs="Arial"/>
                <w:sz w:val="24"/>
                <w:szCs w:val="24"/>
                <w:u w:val="single"/>
              </w:rPr>
              <w:t>para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A36B4">
              <w:rPr>
                <w:rFonts w:ascii="Arial Narrow" w:hAnsi="Arial Narrow" w:cs="Arial"/>
                <w:sz w:val="24"/>
                <w:szCs w:val="24"/>
                <w:u w:val="single"/>
              </w:rPr>
              <w:t>todos</w:t>
            </w:r>
            <w:r w:rsidR="003A36B4">
              <w:rPr>
                <w:rFonts w:ascii="Arial Narrow" w:hAnsi="Arial Narrow" w:cs="Arial"/>
                <w:sz w:val="24"/>
                <w:szCs w:val="24"/>
              </w:rPr>
              <w:t xml:space="preserve">, mas 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janta </w:t>
            </w:r>
            <w:r w:rsidR="003A36B4">
              <w:rPr>
                <w:rFonts w:ascii="Arial Narrow" w:hAnsi="Arial Narrow" w:cs="Arial"/>
                <w:sz w:val="24"/>
                <w:szCs w:val="24"/>
              </w:rPr>
              <w:t xml:space="preserve">será </w:t>
            </w:r>
            <w:r>
              <w:rPr>
                <w:rFonts w:ascii="Arial Narrow" w:hAnsi="Arial Narrow" w:cs="Arial"/>
                <w:sz w:val="24"/>
                <w:szCs w:val="24"/>
              </w:rPr>
              <w:t>somente para os Formador</w:t>
            </w:r>
            <w:r w:rsidR="003A36B4">
              <w:rPr>
                <w:rFonts w:ascii="Arial Narrow" w:hAnsi="Arial Narrow" w:cs="Arial"/>
                <w:sz w:val="24"/>
                <w:szCs w:val="24"/>
              </w:rPr>
              <w:t>es Regionais de fora da Capital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7954C8" w:rsidRDefault="00AF2BAB" w:rsidP="00333C80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Coordenação Geral r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>essalt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 xml:space="preserve"> outra vez que a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formação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 xml:space="preserve"> é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obrigatória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>para os Formadores Regionais e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extensiva aos Membros da Coordenação Geral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, orienta </w:t>
            </w:r>
            <w:r w:rsidR="006B60CF">
              <w:rPr>
                <w:rFonts w:ascii="Arial Narrow" w:hAnsi="Arial Narrow" w:cs="Arial"/>
                <w:sz w:val="24"/>
                <w:szCs w:val="24"/>
              </w:rPr>
              <w:t>novamente que todos se organizem em função dos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5 (cinco) dias </w:t>
            </w:r>
            <w:r w:rsidR="006B60CF">
              <w:rPr>
                <w:rFonts w:ascii="Arial Narrow" w:hAnsi="Arial Narrow" w:cs="Arial"/>
                <w:sz w:val="24"/>
                <w:szCs w:val="24"/>
              </w:rPr>
              <w:t>de formação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 xml:space="preserve"> e que passarão longe de</w:t>
            </w:r>
            <w:r w:rsidR="00B81259">
              <w:rPr>
                <w:rFonts w:ascii="Arial Narrow" w:hAnsi="Arial Narrow" w:cs="Arial"/>
                <w:sz w:val="24"/>
                <w:szCs w:val="24"/>
              </w:rPr>
              <w:t xml:space="preserve"> familiares</w:t>
            </w:r>
            <w:r w:rsidR="008C7BF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B954D4" w:rsidRPr="00B954D4" w:rsidRDefault="00B954D4" w:rsidP="00B954D4">
            <w:pPr>
              <w:spacing w:before="120" w:after="120" w:line="360" w:lineRule="auto"/>
              <w:ind w:firstLine="113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Conforme orientações anteriores e o diálogo que vem sendo construído com a Coordenação da Formação e os Supervisores da Formação, o</w:t>
            </w:r>
            <w:r w:rsidRPr="00B954D4">
              <w:rPr>
                <w:rFonts w:ascii="Arial Narrow" w:hAnsi="Arial Narrow" w:cs="Arial"/>
                <w:sz w:val="24"/>
                <w:szCs w:val="24"/>
              </w:rPr>
              <w:t>s Formadores Regionais de fora de T</w:t>
            </w:r>
            <w:r>
              <w:rPr>
                <w:rFonts w:ascii="Arial Narrow" w:hAnsi="Arial Narrow" w:cs="Arial"/>
                <w:sz w:val="24"/>
                <w:szCs w:val="24"/>
              </w:rPr>
              <w:t>eresina, no turno da noite, no H</w:t>
            </w:r>
            <w:r w:rsidRPr="00B954D4">
              <w:rPr>
                <w:rFonts w:ascii="Arial Narrow" w:hAnsi="Arial Narrow" w:cs="Arial"/>
                <w:sz w:val="24"/>
                <w:szCs w:val="24"/>
              </w:rPr>
              <w:t>otel, farão o trabalho de revisão, reelaboração e conclusão dos relatórios referentes à 1ª</w:t>
            </w:r>
            <w:r>
              <w:rPr>
                <w:rFonts w:ascii="Arial Narrow" w:hAnsi="Arial Narrow" w:cs="Arial"/>
                <w:sz w:val="24"/>
                <w:szCs w:val="24"/>
              </w:rPr>
              <w:t>. Fase da Formação Continuada, conforme horários a serem combinados</w:t>
            </w:r>
            <w:r w:rsidRPr="00B954D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F2BAB" w:rsidRDefault="00B954D4" w:rsidP="00333C80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Por fim</w:t>
            </w:r>
            <w:r w:rsidR="00D62DEA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a Coordenação Geral reforça a orientação e recomendação da Nota 9:</w:t>
            </w:r>
          </w:p>
          <w:p w:rsidR="00333C80" w:rsidRPr="00333C80" w:rsidRDefault="00333C80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33C80">
              <w:rPr>
                <w:rFonts w:ascii="Arial Narrow" w:hAnsi="Arial Narrow" w:cs="Arial"/>
                <w:sz w:val="24"/>
                <w:szCs w:val="24"/>
              </w:rPr>
              <w:t xml:space="preserve">leitura prévia e anotações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de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 xml:space="preserve"> conteúdo d</w:t>
            </w:r>
            <w:r w:rsidRPr="00333C80">
              <w:rPr>
                <w:rFonts w:ascii="Arial Narrow" w:hAnsi="Arial Narrow" w:cs="Arial"/>
                <w:sz w:val="24"/>
                <w:szCs w:val="24"/>
              </w:rPr>
              <w:t xml:space="preserve">os 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5 (cinco)</w:t>
            </w:r>
            <w:r w:rsidRPr="00333C80">
              <w:rPr>
                <w:rFonts w:ascii="Arial Narrow" w:hAnsi="Arial Narrow" w:cs="Arial"/>
                <w:sz w:val="24"/>
                <w:szCs w:val="24"/>
              </w:rPr>
              <w:t xml:space="preserve"> Cadernos;</w:t>
            </w:r>
          </w:p>
          <w:p w:rsidR="00333C80" w:rsidRDefault="00C234A8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providenci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ar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tra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zer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33C80" w:rsidRPr="000F33E5">
              <w:rPr>
                <w:rFonts w:ascii="Arial Narrow" w:hAnsi="Arial Narrow" w:cs="Arial"/>
                <w:i/>
                <w:sz w:val="24"/>
                <w:szCs w:val="24"/>
              </w:rPr>
              <w:t>notebook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C234A8" w:rsidRDefault="00C234A8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providenci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>ar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 tra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 xml:space="preserve">zer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um </w:t>
            </w:r>
            <w:r w:rsidRPr="00C234A8">
              <w:rPr>
                <w:rFonts w:ascii="Arial Narrow" w:hAnsi="Arial Narrow" w:cs="Arial"/>
                <w:i/>
                <w:sz w:val="24"/>
                <w:szCs w:val="24"/>
              </w:rPr>
              <w:t>tablet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dos que foram fornecidos pelo MEC</w:t>
            </w:r>
            <w:r w:rsidR="00AF2BAB">
              <w:rPr>
                <w:rFonts w:ascii="Arial Narrow" w:hAnsi="Arial Narrow" w:cs="Arial"/>
                <w:sz w:val="24"/>
                <w:szCs w:val="24"/>
              </w:rPr>
              <w:t xml:space="preserve"> aos professores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C234A8" w:rsidRDefault="00B954D4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providenciar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 xml:space="preserve"> e tra</w:t>
            </w:r>
            <w:r>
              <w:rPr>
                <w:rFonts w:ascii="Arial Narrow" w:hAnsi="Arial Narrow" w:cs="Arial"/>
                <w:sz w:val="24"/>
                <w:szCs w:val="24"/>
              </w:rPr>
              <w:t>zer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 xml:space="preserve"> todo o material solicitado pela Coordenação da Formação e pelo</w:t>
            </w:r>
            <w:r w:rsidR="0014405E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C234A8">
              <w:rPr>
                <w:rFonts w:ascii="Arial Narrow" w:hAnsi="Arial Narrow" w:cs="Arial"/>
                <w:sz w:val="24"/>
                <w:szCs w:val="24"/>
              </w:rPr>
              <w:t xml:space="preserve"> Formadores</w:t>
            </w:r>
            <w:r w:rsidR="00435B22">
              <w:rPr>
                <w:rFonts w:ascii="Arial Narrow" w:hAnsi="Arial Narrow" w:cs="Arial"/>
                <w:sz w:val="24"/>
                <w:szCs w:val="24"/>
              </w:rPr>
              <w:t xml:space="preserve"> Institucionais;</w:t>
            </w:r>
          </w:p>
          <w:p w:rsidR="00B954D4" w:rsidRDefault="00435B22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providenci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>ar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 tra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>zer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todo o material</w:t>
            </w:r>
            <w:r w:rsidR="00AC7DDE">
              <w:rPr>
                <w:rFonts w:ascii="Arial Narrow" w:hAnsi="Arial Narrow" w:cs="Arial"/>
                <w:sz w:val="24"/>
                <w:szCs w:val="24"/>
              </w:rPr>
              <w:t xml:space="preserve"> solicitado pelos Supervisores da Formação,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necessário à revisão, reelaboração e conclusão dos relatórios referentes à 1ª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>. Fase da Formação Continuada;</w:t>
            </w:r>
            <w:r w:rsidR="00CA048A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</w:p>
          <w:p w:rsidR="00435B22" w:rsidRDefault="00C73B3F" w:rsidP="00333C80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trazer uma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das 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>bolsa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(amarela ou azul</w:t>
            </w:r>
            <w:r w:rsidR="00B954D4">
              <w:rPr>
                <w:rFonts w:ascii="Arial Narrow" w:hAnsi="Arial Narrow" w:cs="Arial"/>
                <w:sz w:val="24"/>
                <w:szCs w:val="24"/>
              </w:rPr>
              <w:t>) que receberam no início das atividades do Projeto, para colocarem seus materiais de estudo.</w:t>
            </w:r>
          </w:p>
          <w:p w:rsidR="001A46AE" w:rsidRDefault="001A46AE" w:rsidP="001A46AE">
            <w:pPr>
              <w:pStyle w:val="PargrafodaLista"/>
              <w:spacing w:before="360" w:after="240" w:line="360" w:lineRule="auto"/>
              <w:ind w:left="1525" w:hanging="149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Teresina(PI), 14 de novembro de 2014.</w:t>
            </w:r>
          </w:p>
          <w:p w:rsidR="00C561BD" w:rsidRPr="00C561BD" w:rsidRDefault="00C561BD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1A46AE" w:rsidP="00F54BBD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71396D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1396D" w:rsidRDefault="0071396D" w:rsidP="0071396D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4135AF" w:rsidRPr="001A46AE" w:rsidRDefault="004135AF" w:rsidP="0071396D">
            <w:pPr>
              <w:ind w:firstLine="34"/>
              <w:rPr>
                <w:rFonts w:ascii="Arial Narrow" w:hAnsi="Arial Narrow" w:cs="Arial"/>
                <w:sz w:val="20"/>
                <w:szCs w:val="20"/>
              </w:rPr>
            </w:pPr>
          </w:p>
          <w:p w:rsidR="0071396D" w:rsidRPr="001A46AE" w:rsidRDefault="0071396D" w:rsidP="00C73B3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1396D" w:rsidRPr="004135AF" w:rsidRDefault="0071396D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3A7A" w:rsidRPr="00573C84" w:rsidTr="00436B6F">
        <w:tc>
          <w:tcPr>
            <w:tcW w:w="9214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AB0A86">
      <w:footerReference w:type="default" r:id="rId12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57" w:rsidRDefault="00CD6E57" w:rsidP="0071396D">
      <w:pPr>
        <w:spacing w:after="0" w:line="240" w:lineRule="auto"/>
      </w:pPr>
      <w:r>
        <w:separator/>
      </w:r>
    </w:p>
  </w:endnote>
  <w:endnote w:type="continuationSeparator" w:id="0">
    <w:p w:rsidR="00CD6E57" w:rsidRDefault="00CD6E57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702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1396D" w:rsidRDefault="008B6E4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2e74b5 [2404]" stroked="f">
                  <v:textbox>
                    <w:txbxContent>
                      <w:p w:rsidR="0071396D" w:rsidRDefault="000D734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B6E42" w:rsidRPr="008B6E42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57" w:rsidRDefault="00CD6E57" w:rsidP="0071396D">
      <w:pPr>
        <w:spacing w:after="0" w:line="240" w:lineRule="auto"/>
      </w:pPr>
      <w:r>
        <w:separator/>
      </w:r>
    </w:p>
  </w:footnote>
  <w:footnote w:type="continuationSeparator" w:id="0">
    <w:p w:rsidR="00CD6E57" w:rsidRDefault="00CD6E57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54A54"/>
    <w:rsid w:val="00084A0E"/>
    <w:rsid w:val="000D7342"/>
    <w:rsid w:val="000F0C16"/>
    <w:rsid w:val="000F33E5"/>
    <w:rsid w:val="000F52A5"/>
    <w:rsid w:val="00106690"/>
    <w:rsid w:val="00131BF5"/>
    <w:rsid w:val="0014405E"/>
    <w:rsid w:val="00183A7A"/>
    <w:rsid w:val="00185794"/>
    <w:rsid w:val="00190280"/>
    <w:rsid w:val="00192F69"/>
    <w:rsid w:val="001A3D49"/>
    <w:rsid w:val="001A46AE"/>
    <w:rsid w:val="00222346"/>
    <w:rsid w:val="00242B60"/>
    <w:rsid w:val="0025095E"/>
    <w:rsid w:val="00267D5C"/>
    <w:rsid w:val="002E04CA"/>
    <w:rsid w:val="002E76F4"/>
    <w:rsid w:val="0030510F"/>
    <w:rsid w:val="003073E0"/>
    <w:rsid w:val="00333C80"/>
    <w:rsid w:val="003608AC"/>
    <w:rsid w:val="003611A3"/>
    <w:rsid w:val="00396D3C"/>
    <w:rsid w:val="003A36B4"/>
    <w:rsid w:val="004135AF"/>
    <w:rsid w:val="00435B22"/>
    <w:rsid w:val="00436B6F"/>
    <w:rsid w:val="00485E1A"/>
    <w:rsid w:val="004C4E97"/>
    <w:rsid w:val="004D1A23"/>
    <w:rsid w:val="004F71CD"/>
    <w:rsid w:val="00503756"/>
    <w:rsid w:val="005079BC"/>
    <w:rsid w:val="0053194C"/>
    <w:rsid w:val="005D2648"/>
    <w:rsid w:val="0060691B"/>
    <w:rsid w:val="00620E15"/>
    <w:rsid w:val="00634B84"/>
    <w:rsid w:val="006562AD"/>
    <w:rsid w:val="006836A8"/>
    <w:rsid w:val="00697CAA"/>
    <w:rsid w:val="006B60CF"/>
    <w:rsid w:val="006C120B"/>
    <w:rsid w:val="0071396D"/>
    <w:rsid w:val="00734C01"/>
    <w:rsid w:val="007954C8"/>
    <w:rsid w:val="007B59ED"/>
    <w:rsid w:val="007B7693"/>
    <w:rsid w:val="00814D5C"/>
    <w:rsid w:val="0084025D"/>
    <w:rsid w:val="008543C3"/>
    <w:rsid w:val="008A43EF"/>
    <w:rsid w:val="008B6B03"/>
    <w:rsid w:val="008B6E42"/>
    <w:rsid w:val="008C7BFE"/>
    <w:rsid w:val="008E60B0"/>
    <w:rsid w:val="0096148E"/>
    <w:rsid w:val="009672AD"/>
    <w:rsid w:val="00AB0A86"/>
    <w:rsid w:val="00AC7DDE"/>
    <w:rsid w:val="00AE5723"/>
    <w:rsid w:val="00AF2BAB"/>
    <w:rsid w:val="00B202F2"/>
    <w:rsid w:val="00B35829"/>
    <w:rsid w:val="00B35F0B"/>
    <w:rsid w:val="00B60E37"/>
    <w:rsid w:val="00B81259"/>
    <w:rsid w:val="00B93E51"/>
    <w:rsid w:val="00B954D4"/>
    <w:rsid w:val="00BD05FF"/>
    <w:rsid w:val="00BE5708"/>
    <w:rsid w:val="00BE79E1"/>
    <w:rsid w:val="00C234A8"/>
    <w:rsid w:val="00C273DF"/>
    <w:rsid w:val="00C42DB8"/>
    <w:rsid w:val="00C561BD"/>
    <w:rsid w:val="00C73B3F"/>
    <w:rsid w:val="00CA048A"/>
    <w:rsid w:val="00CA6ED9"/>
    <w:rsid w:val="00CB06EF"/>
    <w:rsid w:val="00CD6E57"/>
    <w:rsid w:val="00CF7906"/>
    <w:rsid w:val="00D01E7C"/>
    <w:rsid w:val="00D34553"/>
    <w:rsid w:val="00D56E60"/>
    <w:rsid w:val="00D62DEA"/>
    <w:rsid w:val="00D949E5"/>
    <w:rsid w:val="00DE7F4F"/>
    <w:rsid w:val="00E25C32"/>
    <w:rsid w:val="00E64C06"/>
    <w:rsid w:val="00E74939"/>
    <w:rsid w:val="00E85441"/>
    <w:rsid w:val="00F06455"/>
    <w:rsid w:val="00F12005"/>
    <w:rsid w:val="00F15116"/>
    <w:rsid w:val="00F5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Pacto 3</cp:lastModifiedBy>
  <cp:revision>80</cp:revision>
  <cp:lastPrinted>2014-11-14T00:50:00Z</cp:lastPrinted>
  <dcterms:created xsi:type="dcterms:W3CDTF">2014-09-08T15:58:00Z</dcterms:created>
  <dcterms:modified xsi:type="dcterms:W3CDTF">2014-11-14T13:11:00Z</dcterms:modified>
</cp:coreProperties>
</file>